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E9" w:rsidRDefault="00C35CE9" w:rsidP="005272E9">
      <w:pPr>
        <w:jc w:val="center"/>
        <w:rPr>
          <w:rFonts w:ascii="Fotogram Light" w:hAnsi="Fotogram Light" w:cstheme="majorHAnsi"/>
          <w:b/>
          <w:caps/>
          <w:sz w:val="20"/>
          <w:szCs w:val="20"/>
        </w:rPr>
      </w:pPr>
      <w:r>
        <w:rPr>
          <w:rFonts w:ascii="Fotogram Light" w:hAnsi="Fotogram Light" w:cstheme="majorHAnsi"/>
          <w:b/>
          <w:caps/>
          <w:sz w:val="20"/>
          <w:szCs w:val="20"/>
        </w:rPr>
        <w:t xml:space="preserve">Course description </w:t>
      </w:r>
      <w:bookmarkStart w:id="0" w:name="_GoBack"/>
      <w:bookmarkEnd w:id="0"/>
    </w:p>
    <w:p w:rsidR="005272E9" w:rsidRDefault="005272E9" w:rsidP="005272E9">
      <w:pPr>
        <w:jc w:val="center"/>
        <w:rPr>
          <w:rFonts w:ascii="Fotogram Light" w:hAnsi="Fotogram Light" w:cstheme="majorHAnsi"/>
          <w:b/>
          <w:caps/>
          <w:sz w:val="20"/>
          <w:szCs w:val="20"/>
        </w:rPr>
      </w:pPr>
    </w:p>
    <w:p w:rsidR="005272E9" w:rsidRDefault="005272E9" w:rsidP="005272E9">
      <w:pPr>
        <w:jc w:val="center"/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Course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title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: </w:t>
      </w:r>
      <w:proofErr w:type="spellStart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>Psychological</w:t>
      </w:r>
      <w:proofErr w:type="spellEnd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 xml:space="preserve"> </w:t>
      </w:r>
      <w:proofErr w:type="spellStart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>Skill</w:t>
      </w:r>
      <w:proofErr w:type="spellEnd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 xml:space="preserve"> </w:t>
      </w:r>
      <w:proofErr w:type="spellStart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>Training</w:t>
      </w:r>
      <w:proofErr w:type="spellEnd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 xml:space="preserve"> </w:t>
      </w:r>
      <w:proofErr w:type="spellStart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>Psychological</w:t>
      </w:r>
      <w:proofErr w:type="spellEnd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 xml:space="preserve"> </w:t>
      </w:r>
      <w:proofErr w:type="spellStart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>well</w:t>
      </w:r>
      <w:proofErr w:type="spellEnd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 xml:space="preserve">-being in </w:t>
      </w:r>
      <w:proofErr w:type="spellStart"/>
      <w:r w:rsidR="007E0DCB" w:rsidRPr="007E0DCB">
        <w:rPr>
          <w:rFonts w:ascii="Fotogram Light" w:hAnsi="Fotogram Light" w:cstheme="majorHAnsi"/>
          <w:b/>
          <w:bCs/>
          <w:sz w:val="20"/>
          <w:szCs w:val="20"/>
        </w:rPr>
        <w:t>practice</w:t>
      </w:r>
      <w:proofErr w:type="spellEnd"/>
    </w:p>
    <w:p w:rsidR="005272E9" w:rsidRDefault="005272E9" w:rsidP="005272E9">
      <w:pPr>
        <w:jc w:val="center"/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Course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code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: </w:t>
      </w:r>
      <w:r>
        <w:rPr>
          <w:rFonts w:ascii="Fotogram Light" w:hAnsi="Fotogram Light" w:cstheme="majorHAnsi"/>
          <w:b/>
          <w:bCs/>
          <w:sz w:val="20"/>
          <w:szCs w:val="20"/>
        </w:rPr>
        <w:t>PSZB17-133:76</w:t>
      </w:r>
    </w:p>
    <w:p w:rsidR="005272E9" w:rsidRDefault="005272E9" w:rsidP="005272E9">
      <w:pPr>
        <w:jc w:val="center"/>
        <w:rPr>
          <w:rFonts w:ascii="Fotogram Light" w:hAnsi="Fotogram Light" w:cstheme="majorHAnsi"/>
          <w:b/>
          <w:sz w:val="20"/>
          <w:szCs w:val="20"/>
        </w:rPr>
      </w:pPr>
      <w:r>
        <w:rPr>
          <w:rFonts w:ascii="Fotogram Light" w:hAnsi="Fotogram Light" w:cstheme="majorHAnsi"/>
          <w:b/>
          <w:sz w:val="20"/>
          <w:szCs w:val="20"/>
        </w:rPr>
        <w:t xml:space="preserve">Head of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the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course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>:</w:t>
      </w: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72E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72E9" w:rsidRDefault="005272E9">
            <w:pPr>
              <w:rPr>
                <w:rFonts w:ascii="Fotogram Light" w:hAnsi="Fotogram Light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Aim</w:t>
            </w:r>
            <w:proofErr w:type="spellEnd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course</w:t>
            </w:r>
            <w:proofErr w:type="spellEnd"/>
          </w:p>
        </w:tc>
      </w:tr>
    </w:tbl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Aim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the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course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: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Students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learn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about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several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topics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positive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psychology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and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gain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personal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experience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with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positive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psychology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Cs/>
          <w:sz w:val="20"/>
          <w:szCs w:val="20"/>
        </w:rPr>
        <w:t>interventions</w:t>
      </w:r>
      <w:proofErr w:type="spellEnd"/>
      <w:r>
        <w:rPr>
          <w:rFonts w:ascii="Fotogram Light" w:hAnsi="Fotogram Light" w:cstheme="majorHAnsi"/>
          <w:bCs/>
          <w:sz w:val="20"/>
          <w:szCs w:val="20"/>
        </w:rPr>
        <w:t>.</w:t>
      </w: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Learning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outcome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,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competences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knowledge</w:t>
      </w:r>
      <w:proofErr w:type="spellEnd"/>
      <w:r>
        <w:rPr>
          <w:rFonts w:ascii="Fotogram Light" w:hAnsi="Fotogram Light" w:cstheme="majorHAnsi"/>
          <w:sz w:val="20"/>
          <w:szCs w:val="20"/>
        </w:rPr>
        <w:t>:</w:t>
      </w:r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theoretical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background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sz w:val="20"/>
          <w:szCs w:val="20"/>
        </w:rPr>
        <w:t>positive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psychology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practical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side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sz w:val="20"/>
          <w:szCs w:val="20"/>
        </w:rPr>
        <w:t>positive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psychology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: </w:t>
      </w:r>
      <w:proofErr w:type="spellStart"/>
      <w:r>
        <w:rPr>
          <w:rFonts w:ascii="Fotogram Light" w:hAnsi="Fotogram Light" w:cstheme="majorHAnsi"/>
          <w:sz w:val="20"/>
          <w:szCs w:val="20"/>
        </w:rPr>
        <w:t>the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use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sz w:val="20"/>
          <w:szCs w:val="20"/>
        </w:rPr>
        <w:t>positive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psychology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interventions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attitude</w:t>
      </w:r>
      <w:proofErr w:type="spellEnd"/>
      <w:r>
        <w:rPr>
          <w:rFonts w:ascii="Fotogram Light" w:hAnsi="Fotogram Light" w:cstheme="majorHAnsi"/>
          <w:sz w:val="20"/>
          <w:szCs w:val="20"/>
        </w:rPr>
        <w:t>:</w:t>
      </w:r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open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-minded, </w:t>
      </w:r>
      <w:proofErr w:type="spellStart"/>
      <w:r>
        <w:rPr>
          <w:rFonts w:ascii="Fotogram Light" w:hAnsi="Fotogram Light" w:cstheme="majorHAnsi"/>
          <w:sz w:val="20"/>
          <w:szCs w:val="20"/>
        </w:rPr>
        <w:t>empathetic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attitude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skills</w:t>
      </w:r>
      <w:proofErr w:type="spellEnd"/>
      <w:r>
        <w:rPr>
          <w:rFonts w:ascii="Fotogram Light" w:hAnsi="Fotogram Light" w:cstheme="majorHAnsi"/>
          <w:sz w:val="20"/>
          <w:szCs w:val="20"/>
        </w:rPr>
        <w:t>:</w:t>
      </w:r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how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to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use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positive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psychology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interventions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72E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72E9" w:rsidRDefault="005272E9">
            <w:pPr>
              <w:rPr>
                <w:rFonts w:ascii="Fotogram Light" w:hAnsi="Fotogram Light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Content</w:t>
            </w:r>
            <w:proofErr w:type="spellEnd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course</w:t>
            </w:r>
            <w:proofErr w:type="spellEnd"/>
          </w:p>
        </w:tc>
      </w:tr>
    </w:tbl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Topic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the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course</w:t>
      </w:r>
      <w:proofErr w:type="spellEnd"/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personal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experience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with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positive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psychology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interventions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Learning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activities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,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learning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methods</w:t>
      </w:r>
      <w:proofErr w:type="spellEnd"/>
    </w:p>
    <w:p w:rsidR="005272E9" w:rsidRDefault="005272E9" w:rsidP="005272E9">
      <w:pPr>
        <w:pStyle w:val="Listaszerbekezds"/>
        <w:numPr>
          <w:ilvl w:val="0"/>
          <w:numId w:val="2"/>
        </w:numPr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individual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and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small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group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exercises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;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experience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sharing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;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self-relfection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72E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72E9" w:rsidRDefault="005272E9">
            <w:pPr>
              <w:rPr>
                <w:rFonts w:ascii="Fotogram Light" w:hAnsi="Fotogram Light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Evaluation</w:t>
            </w:r>
            <w:proofErr w:type="spellEnd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outcomes</w:t>
            </w:r>
            <w:proofErr w:type="spellEnd"/>
          </w:p>
        </w:tc>
      </w:tr>
    </w:tbl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Learning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requirements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,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mode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evaluation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and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criteria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evaluation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>:</w:t>
      </w: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personal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attendance</w:t>
      </w:r>
      <w:proofErr w:type="spellEnd"/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completing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short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homeworks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Mode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sz w:val="20"/>
          <w:szCs w:val="20"/>
        </w:rPr>
        <w:t>evaluation</w:t>
      </w:r>
      <w:proofErr w:type="spellEnd"/>
      <w:r>
        <w:rPr>
          <w:rFonts w:ascii="Fotogram Light" w:hAnsi="Fotogram Light" w:cstheme="majorHAnsi"/>
          <w:sz w:val="20"/>
          <w:szCs w:val="20"/>
        </w:rPr>
        <w:t>:</w:t>
      </w: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pStyle w:val="Listaszerbekezds"/>
        <w:numPr>
          <w:ilvl w:val="0"/>
          <w:numId w:val="2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evaluation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sz w:val="20"/>
          <w:szCs w:val="20"/>
        </w:rPr>
        <w:t>short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homeworks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Criteria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sz w:val="20"/>
          <w:szCs w:val="20"/>
        </w:rPr>
        <w:t>evaluation</w:t>
      </w:r>
      <w:proofErr w:type="spellEnd"/>
      <w:r>
        <w:rPr>
          <w:rFonts w:ascii="Fotogram Light" w:hAnsi="Fotogram Light" w:cstheme="majorHAnsi"/>
          <w:sz w:val="20"/>
          <w:szCs w:val="20"/>
        </w:rPr>
        <w:t>:</w:t>
      </w:r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personal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attendance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(min. 70% of </w:t>
      </w:r>
      <w:proofErr w:type="spellStart"/>
      <w:r>
        <w:rPr>
          <w:rFonts w:ascii="Fotogram Light" w:hAnsi="Fotogram Light" w:cstheme="majorHAnsi"/>
          <w:sz w:val="20"/>
          <w:szCs w:val="20"/>
        </w:rPr>
        <w:t>the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sessions</w:t>
      </w:r>
      <w:proofErr w:type="spellEnd"/>
      <w:r>
        <w:rPr>
          <w:rFonts w:ascii="Fotogram Light" w:hAnsi="Fotogram Light" w:cstheme="majorHAnsi"/>
          <w:sz w:val="20"/>
          <w:szCs w:val="20"/>
        </w:rPr>
        <w:t>)</w:t>
      </w:r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completing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short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homeworks</w:t>
      </w:r>
      <w:proofErr w:type="spellEnd"/>
    </w:p>
    <w:p w:rsidR="005272E9" w:rsidRDefault="005272E9" w:rsidP="005272E9">
      <w:pPr>
        <w:rPr>
          <w:rFonts w:ascii="Fotogram Light" w:hAnsi="Fotogram Light" w:cstheme="majorHAnsi"/>
          <w:sz w:val="20"/>
          <w:szCs w:val="20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72E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72E9" w:rsidRDefault="005272E9">
            <w:pPr>
              <w:rPr>
                <w:rFonts w:ascii="Fotogram Light" w:hAnsi="Fotogram Light" w:cstheme="majorHAnsi"/>
                <w:b/>
                <w:sz w:val="20"/>
                <w:szCs w:val="20"/>
              </w:rPr>
            </w:pPr>
            <w:r>
              <w:rPr>
                <w:rFonts w:ascii="Fotogram Light" w:hAnsi="Fotogram Light" w:cstheme="majorHAnsi"/>
                <w:b/>
                <w:sz w:val="20"/>
                <w:szCs w:val="20"/>
              </w:rPr>
              <w:t xml:space="preserve">Reading </w:t>
            </w:r>
            <w:proofErr w:type="spellStart"/>
            <w:r>
              <w:rPr>
                <w:rFonts w:ascii="Fotogram Light" w:hAnsi="Fotogram Light" w:cstheme="majorHAnsi"/>
                <w:b/>
                <w:sz w:val="20"/>
                <w:szCs w:val="20"/>
              </w:rPr>
              <w:t>list</w:t>
            </w:r>
            <w:proofErr w:type="spellEnd"/>
          </w:p>
        </w:tc>
      </w:tr>
    </w:tbl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Compulsory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reading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list</w:t>
      </w:r>
      <w:proofErr w:type="spellEnd"/>
    </w:p>
    <w:p w:rsidR="005272E9" w:rsidRDefault="005272E9" w:rsidP="005272E9">
      <w:pPr>
        <w:pStyle w:val="Listaszerbekezds"/>
        <w:numPr>
          <w:ilvl w:val="0"/>
          <w:numId w:val="1"/>
        </w:numPr>
        <w:rPr>
          <w:rFonts w:ascii="Fotogram Light" w:hAnsi="Fotogram Light" w:cstheme="majorHAnsi"/>
          <w:sz w:val="20"/>
          <w:szCs w:val="20"/>
        </w:rPr>
      </w:pPr>
      <w:proofErr w:type="spellStart"/>
      <w:r>
        <w:rPr>
          <w:rFonts w:ascii="Fotogram Light" w:hAnsi="Fotogram Light" w:cstheme="majorHAnsi"/>
          <w:sz w:val="20"/>
          <w:szCs w:val="20"/>
        </w:rPr>
        <w:t>There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gramStart"/>
      <w:r>
        <w:rPr>
          <w:rFonts w:ascii="Fotogram Light" w:hAnsi="Fotogram Light" w:cstheme="majorHAnsi"/>
          <w:sz w:val="20"/>
          <w:szCs w:val="20"/>
        </w:rPr>
        <w:t>is</w:t>
      </w:r>
      <w:proofErr w:type="gramEnd"/>
      <w:r>
        <w:rPr>
          <w:rFonts w:ascii="Fotogram Light" w:hAnsi="Fotogram Light" w:cstheme="majorHAnsi"/>
          <w:sz w:val="20"/>
          <w:szCs w:val="20"/>
        </w:rPr>
        <w:t xml:space="preserve"> no </w:t>
      </w:r>
      <w:proofErr w:type="spellStart"/>
      <w:r>
        <w:rPr>
          <w:rFonts w:ascii="Fotogram Light" w:hAnsi="Fotogram Light" w:cstheme="majorHAnsi"/>
          <w:sz w:val="20"/>
          <w:szCs w:val="20"/>
        </w:rPr>
        <w:t>compulsory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reading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list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since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the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type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of </w:t>
      </w:r>
      <w:proofErr w:type="spellStart"/>
      <w:r>
        <w:rPr>
          <w:rFonts w:ascii="Fotogram Light" w:hAnsi="Fotogram Light" w:cstheme="majorHAnsi"/>
          <w:sz w:val="20"/>
          <w:szCs w:val="20"/>
        </w:rPr>
        <w:t>the</w:t>
      </w:r>
      <w:proofErr w:type="spellEnd"/>
      <w:r>
        <w:rPr>
          <w:rFonts w:ascii="Fotogram Light" w:hAnsi="Fotogram Light" w:cstheme="majorHAnsi"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sz w:val="20"/>
          <w:szCs w:val="20"/>
        </w:rPr>
        <w:t>course</w:t>
      </w:r>
      <w:proofErr w:type="spellEnd"/>
      <w:r>
        <w:rPr>
          <w:rFonts w:ascii="Fotogram Light" w:hAnsi="Fotogram Light" w:cstheme="majorHAnsi"/>
          <w:sz w:val="20"/>
          <w:szCs w:val="20"/>
        </w:rPr>
        <w:t>.</w:t>
      </w:r>
    </w:p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</w:p>
    <w:p w:rsidR="005272E9" w:rsidRDefault="005272E9" w:rsidP="005272E9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>
        <w:rPr>
          <w:rFonts w:ascii="Fotogram Light" w:hAnsi="Fotogram Light" w:cstheme="majorHAnsi"/>
          <w:b/>
          <w:sz w:val="20"/>
          <w:szCs w:val="20"/>
        </w:rPr>
        <w:t>Recommended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reading</w:t>
      </w:r>
      <w:proofErr w:type="spellEnd"/>
      <w:r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 w:cstheme="majorHAnsi"/>
          <w:b/>
          <w:sz w:val="20"/>
          <w:szCs w:val="20"/>
        </w:rPr>
        <w:t>list</w:t>
      </w:r>
      <w:proofErr w:type="spellEnd"/>
    </w:p>
    <w:p w:rsidR="005272E9" w:rsidRDefault="005272E9" w:rsidP="005272E9">
      <w:pPr>
        <w:pStyle w:val="NormlWeb"/>
        <w:numPr>
          <w:ilvl w:val="0"/>
          <w:numId w:val="1"/>
        </w:numPr>
        <w:rPr>
          <w:rStyle w:val="apple-converted-space"/>
          <w:color w:val="000000"/>
        </w:rPr>
      </w:pPr>
      <w:r>
        <w:rPr>
          <w:rFonts w:ascii="Fotogram Light" w:hAnsi="Fotogram Light"/>
          <w:color w:val="000000"/>
          <w:sz w:val="20"/>
          <w:szCs w:val="20"/>
        </w:rPr>
        <w:t>Butler, J</w:t>
      </w:r>
      <w:proofErr w:type="gramStart"/>
      <w:r>
        <w:rPr>
          <w:rFonts w:ascii="Fotogram Light" w:hAnsi="Fotogram Light"/>
          <w:color w:val="000000"/>
          <w:sz w:val="20"/>
          <w:szCs w:val="20"/>
        </w:rPr>
        <w:t>.,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 xml:space="preserve"> &amp; Kern, M. L. (2016). The PERMA-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Profiler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: A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brief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multidimensional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measure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flourishing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International Journal of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Wellbeing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gramStart"/>
      <w:r>
        <w:rPr>
          <w:rFonts w:ascii="Fotogram Light" w:hAnsi="Fotogram Light"/>
          <w:i/>
          <w:iCs/>
          <w:color w:val="000000"/>
          <w:sz w:val="20"/>
          <w:szCs w:val="20"/>
        </w:rPr>
        <w:t>6</w:t>
      </w:r>
      <w:r>
        <w:rPr>
          <w:rFonts w:ascii="Fotogram Light" w:hAnsi="Fotogram Light"/>
          <w:color w:val="000000"/>
          <w:sz w:val="20"/>
          <w:szCs w:val="20"/>
        </w:rPr>
        <w:t>(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>3), 1–48. https://doi.org/10.5502/ijw.v6i3.526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272E9" w:rsidRDefault="005272E9" w:rsidP="005272E9">
      <w:pPr>
        <w:pStyle w:val="NormlWeb"/>
        <w:numPr>
          <w:ilvl w:val="0"/>
          <w:numId w:val="1"/>
        </w:num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t>Duckworth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, </w:t>
      </w:r>
      <w:proofErr w:type="gramStart"/>
      <w:r>
        <w:rPr>
          <w:rFonts w:ascii="Fotogram Light" w:hAnsi="Fotogram Light"/>
          <w:color w:val="000000"/>
          <w:sz w:val="20"/>
          <w:szCs w:val="20"/>
        </w:rPr>
        <w:t>A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>. (2019).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Grit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.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Vermilion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272E9" w:rsidRDefault="005272E9" w:rsidP="005272E9">
      <w:pPr>
        <w:pStyle w:val="NormlWeb"/>
        <w:numPr>
          <w:ilvl w:val="0"/>
          <w:numId w:val="1"/>
        </w:numPr>
        <w:rPr>
          <w:rFonts w:ascii="Fotogram Light" w:hAnsi="Fotogram Light"/>
          <w:color w:val="000000"/>
          <w:sz w:val="20"/>
          <w:szCs w:val="20"/>
        </w:r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lastRenderedPageBreak/>
        <w:t>Fava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 G. A</w:t>
      </w:r>
      <w:proofErr w:type="gramStart"/>
      <w:r>
        <w:rPr>
          <w:rFonts w:ascii="Fotogram Light" w:hAnsi="Fotogram Light"/>
          <w:color w:val="000000"/>
          <w:sz w:val="20"/>
          <w:szCs w:val="20"/>
        </w:rPr>
        <w:t>.,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 xml:space="preserve"> &amp;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Ruini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, C. (2003).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Development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and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characteristics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of a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well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-being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enhancing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psychotherapeutic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strategy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: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well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-being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therapy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Journal of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Behavior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Therapy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and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Experimental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Psychiatry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gramStart"/>
      <w:r>
        <w:rPr>
          <w:rFonts w:ascii="Fotogram Light" w:hAnsi="Fotogram Light"/>
          <w:i/>
          <w:iCs/>
          <w:color w:val="000000"/>
          <w:sz w:val="20"/>
          <w:szCs w:val="20"/>
        </w:rPr>
        <w:t>34</w:t>
      </w:r>
      <w:r>
        <w:rPr>
          <w:rFonts w:ascii="Fotogram Light" w:hAnsi="Fotogram Light"/>
          <w:color w:val="000000"/>
          <w:sz w:val="20"/>
          <w:szCs w:val="20"/>
        </w:rPr>
        <w:t>(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>1), 45–63. https://doi.org/10.1016/s0005-7916(03)00019-3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272E9" w:rsidRDefault="005272E9" w:rsidP="005272E9">
      <w:pPr>
        <w:pStyle w:val="NormlWeb"/>
        <w:numPr>
          <w:ilvl w:val="0"/>
          <w:numId w:val="1"/>
        </w:numPr>
        <w:rPr>
          <w:rStyle w:val="apple-converted-space"/>
        </w:r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t>Huppert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 F. A</w:t>
      </w:r>
      <w:proofErr w:type="gramStart"/>
      <w:r>
        <w:rPr>
          <w:rFonts w:ascii="Fotogram Light" w:hAnsi="Fotogram Light"/>
          <w:color w:val="000000"/>
          <w:sz w:val="20"/>
          <w:szCs w:val="20"/>
        </w:rPr>
        <w:t>.,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 xml:space="preserve"> &amp;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So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, T. T. (2013).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Flourishing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Across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Europe: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Application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of a New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Conceptual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Framework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for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Defining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Well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-Being.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Social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Indicators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Research</w:t>
      </w:r>
      <w:r>
        <w:rPr>
          <w:rFonts w:ascii="Fotogram Light" w:hAnsi="Fotogram Light"/>
          <w:color w:val="000000"/>
          <w:sz w:val="20"/>
          <w:szCs w:val="20"/>
        </w:rPr>
        <w:t>,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gramStart"/>
      <w:r>
        <w:rPr>
          <w:rFonts w:ascii="Fotogram Light" w:hAnsi="Fotogram Light"/>
          <w:i/>
          <w:iCs/>
          <w:color w:val="000000"/>
          <w:sz w:val="20"/>
          <w:szCs w:val="20"/>
        </w:rPr>
        <w:t>110</w:t>
      </w:r>
      <w:r>
        <w:rPr>
          <w:rFonts w:ascii="Fotogram Light" w:hAnsi="Fotogram Light"/>
          <w:color w:val="000000"/>
          <w:sz w:val="20"/>
          <w:szCs w:val="20"/>
        </w:rPr>
        <w:t>(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 xml:space="preserve">3), 837–861. </w:t>
      </w:r>
      <w:hyperlink r:id="rId7" w:history="1">
        <w:r>
          <w:rPr>
            <w:rStyle w:val="Hiperhivatkozs"/>
            <w:rFonts w:ascii="Fotogram Light" w:hAnsi="Fotogram Light"/>
            <w:sz w:val="20"/>
            <w:szCs w:val="20"/>
          </w:rPr>
          <w:t>https://doi.org/https://doi.org/10.1007/s11205-011-9966-7</w:t>
        </w:r>
      </w:hyperlink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272E9" w:rsidRDefault="005272E9" w:rsidP="005272E9">
      <w:pPr>
        <w:pStyle w:val="NormlWeb"/>
        <w:numPr>
          <w:ilvl w:val="0"/>
          <w:numId w:val="1"/>
        </w:num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t>Niemiec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 R. M. (2018).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Character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strengths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interventions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: A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field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guide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for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Practitioners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.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Hogrefe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272E9" w:rsidRDefault="005272E9" w:rsidP="005272E9">
      <w:pPr>
        <w:pStyle w:val="NormlWeb"/>
        <w:numPr>
          <w:ilvl w:val="0"/>
          <w:numId w:val="1"/>
        </w:numPr>
        <w:rPr>
          <w:rFonts w:ascii="Fotogram Light" w:hAnsi="Fotogram Light"/>
          <w:color w:val="000000"/>
          <w:sz w:val="20"/>
          <w:szCs w:val="20"/>
        </w:rPr>
      </w:pPr>
    </w:p>
    <w:p w:rsidR="005272E9" w:rsidRDefault="005272E9" w:rsidP="005272E9">
      <w:pPr>
        <w:pStyle w:val="NormlWeb"/>
        <w:numPr>
          <w:ilvl w:val="0"/>
          <w:numId w:val="1"/>
        </w:numPr>
        <w:rPr>
          <w:rStyle w:val="apple-converted-space"/>
        </w:r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t>Rath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 T</w:t>
      </w:r>
      <w:proofErr w:type="gramStart"/>
      <w:r>
        <w:rPr>
          <w:rFonts w:ascii="Fotogram Light" w:hAnsi="Fotogram Light"/>
          <w:color w:val="000000"/>
          <w:sz w:val="20"/>
          <w:szCs w:val="20"/>
        </w:rPr>
        <w:t>.,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 xml:space="preserve"> &amp;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Harter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 J. K. (2010).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Wellbeing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: The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Five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Essential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Elements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. Gallup Press.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272E9" w:rsidRDefault="005272E9" w:rsidP="005272E9">
      <w:pPr>
        <w:pStyle w:val="NormlWeb"/>
        <w:numPr>
          <w:ilvl w:val="0"/>
          <w:numId w:val="1"/>
        </w:num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t>Ryan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, R. M., &amp; Deci, E. L. (2001).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On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happiness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and human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potentials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: A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review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research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on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hedonic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and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eudaimonic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well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-being.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Annual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Review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Psychology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gramStart"/>
      <w:r>
        <w:rPr>
          <w:rFonts w:ascii="Fotogram Light" w:hAnsi="Fotogram Light"/>
          <w:i/>
          <w:iCs/>
          <w:color w:val="000000"/>
          <w:sz w:val="20"/>
          <w:szCs w:val="20"/>
        </w:rPr>
        <w:t>52</w:t>
      </w:r>
      <w:r>
        <w:rPr>
          <w:rFonts w:ascii="Fotogram Light" w:hAnsi="Fotogram Light"/>
          <w:color w:val="000000"/>
          <w:sz w:val="20"/>
          <w:szCs w:val="20"/>
        </w:rPr>
        <w:t>(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>1), 141–166. https://doi.org/10.1146/annurev.psych.52.1.141</w:t>
      </w:r>
    </w:p>
    <w:p w:rsidR="005272E9" w:rsidRDefault="005272E9" w:rsidP="005272E9">
      <w:pPr>
        <w:pStyle w:val="NormlWeb"/>
        <w:numPr>
          <w:ilvl w:val="0"/>
          <w:numId w:val="1"/>
        </w:numPr>
        <w:rPr>
          <w:rFonts w:ascii="Fotogram Light" w:hAnsi="Fotogram Light"/>
          <w:color w:val="000000"/>
          <w:sz w:val="20"/>
          <w:szCs w:val="20"/>
        </w:r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t>Seligman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 M. E. P. (2011).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Flourish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– Élj boldogan! A boldogság és a jól-lét radikálisan új értelmezése</w:t>
      </w:r>
      <w:r>
        <w:rPr>
          <w:rFonts w:ascii="Fotogram Light" w:hAnsi="Fotogram Light"/>
          <w:color w:val="000000"/>
          <w:sz w:val="20"/>
          <w:szCs w:val="20"/>
        </w:rPr>
        <w:t>. Akadémiai Kiadó.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272E9" w:rsidRDefault="005272E9" w:rsidP="005272E9">
      <w:pPr>
        <w:pStyle w:val="NormlWeb"/>
        <w:numPr>
          <w:ilvl w:val="0"/>
          <w:numId w:val="1"/>
        </w:numPr>
        <w:rPr>
          <w:rStyle w:val="apple-converted-space"/>
        </w:r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t>Seligman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 M. E</w:t>
      </w:r>
      <w:proofErr w:type="gramStart"/>
      <w:r>
        <w:rPr>
          <w:rFonts w:ascii="Fotogram Light" w:hAnsi="Fotogram Light"/>
          <w:color w:val="000000"/>
          <w:sz w:val="20"/>
          <w:szCs w:val="20"/>
        </w:rPr>
        <w:t>.,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Steen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 T. A</w:t>
      </w:r>
      <w:proofErr w:type="gramStart"/>
      <w:r>
        <w:rPr>
          <w:rFonts w:ascii="Fotogram Light" w:hAnsi="Fotogram Light"/>
          <w:color w:val="000000"/>
          <w:sz w:val="20"/>
          <w:szCs w:val="20"/>
        </w:rPr>
        <w:t>.,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 xml:space="preserve"> Park, N., &amp;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Peterson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, C. (2005).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Positive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Psychology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Progress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: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Empirical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Validation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Interventions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American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Psychologist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gramStart"/>
      <w:r>
        <w:rPr>
          <w:rFonts w:ascii="Fotogram Light" w:hAnsi="Fotogram Light"/>
          <w:i/>
          <w:iCs/>
          <w:color w:val="000000"/>
          <w:sz w:val="20"/>
          <w:szCs w:val="20"/>
        </w:rPr>
        <w:t>60</w:t>
      </w:r>
      <w:r>
        <w:rPr>
          <w:rFonts w:ascii="Fotogram Light" w:hAnsi="Fotogram Light"/>
          <w:color w:val="000000"/>
          <w:sz w:val="20"/>
          <w:szCs w:val="20"/>
        </w:rPr>
        <w:t>(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>5), 410–421. https://doi.org/10.1037/0003-066x.60.5.410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272E9" w:rsidRDefault="005272E9" w:rsidP="005272E9">
      <w:pPr>
        <w:pStyle w:val="NormlWeb"/>
        <w:numPr>
          <w:ilvl w:val="0"/>
          <w:numId w:val="1"/>
        </w:numPr>
      </w:pPr>
      <w:proofErr w:type="spellStart"/>
      <w:r>
        <w:rPr>
          <w:rFonts w:ascii="Fotogram Light" w:hAnsi="Fotogram Light"/>
          <w:color w:val="000000"/>
          <w:sz w:val="20"/>
          <w:szCs w:val="20"/>
        </w:rPr>
        <w:t>Visser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, </w:t>
      </w:r>
      <w:proofErr w:type="gramStart"/>
      <w:r>
        <w:rPr>
          <w:rFonts w:ascii="Fotogram Light" w:hAnsi="Fotogram Light"/>
          <w:color w:val="000000"/>
          <w:sz w:val="20"/>
          <w:szCs w:val="20"/>
        </w:rPr>
        <w:t>A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 xml:space="preserve">.,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Garssen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, B., &amp;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Vingerhoets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, A. J. J. M. (2017).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Existential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color w:val="000000"/>
          <w:sz w:val="20"/>
          <w:szCs w:val="20"/>
        </w:rPr>
        <w:t>well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-being.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Journal of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Nervous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&amp;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Mental</w:t>
      </w:r>
      <w:proofErr w:type="spellEnd"/>
      <w:r>
        <w:rPr>
          <w:rFonts w:ascii="Fotogram Light" w:hAnsi="Fotogram Ligh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i/>
          <w:iCs/>
          <w:color w:val="000000"/>
          <w:sz w:val="20"/>
          <w:szCs w:val="20"/>
        </w:rPr>
        <w:t>Disease</w:t>
      </w:r>
      <w:proofErr w:type="spellEnd"/>
      <w:r>
        <w:rPr>
          <w:rFonts w:ascii="Fotogram Light" w:hAnsi="Fotogram Light"/>
          <w:color w:val="000000"/>
          <w:sz w:val="20"/>
          <w:szCs w:val="20"/>
        </w:rPr>
        <w:t>,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  <w:proofErr w:type="gramStart"/>
      <w:r>
        <w:rPr>
          <w:rFonts w:ascii="Fotogram Light" w:hAnsi="Fotogram Light"/>
          <w:i/>
          <w:iCs/>
          <w:color w:val="000000"/>
          <w:sz w:val="20"/>
          <w:szCs w:val="20"/>
        </w:rPr>
        <w:t>205</w:t>
      </w:r>
      <w:r>
        <w:rPr>
          <w:rFonts w:ascii="Fotogram Light" w:hAnsi="Fotogram Light"/>
          <w:color w:val="000000"/>
          <w:sz w:val="20"/>
          <w:szCs w:val="20"/>
        </w:rPr>
        <w:t>(</w:t>
      </w:r>
      <w:proofErr w:type="gramEnd"/>
      <w:r>
        <w:rPr>
          <w:rFonts w:ascii="Fotogram Light" w:hAnsi="Fotogram Light"/>
          <w:color w:val="000000"/>
          <w:sz w:val="20"/>
          <w:szCs w:val="20"/>
        </w:rPr>
        <w:t>3), 234–241. https://doi.org/10.1097/nmd.0000000000000617</w:t>
      </w:r>
      <w:r>
        <w:rPr>
          <w:rStyle w:val="apple-converted-space"/>
          <w:rFonts w:ascii="Fotogram Light" w:hAnsi="Fotogram Light"/>
          <w:color w:val="000000"/>
          <w:sz w:val="20"/>
          <w:szCs w:val="20"/>
        </w:rPr>
        <w:t> </w:t>
      </w:r>
    </w:p>
    <w:p w:rsidR="005A0F1D" w:rsidRDefault="005A0F1D" w:rsidP="005272E9"/>
    <w:sectPr w:rsidR="005A0F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A3" w:rsidRDefault="007129A3" w:rsidP="005272E9">
      <w:r>
        <w:separator/>
      </w:r>
    </w:p>
  </w:endnote>
  <w:endnote w:type="continuationSeparator" w:id="0">
    <w:p w:rsidR="007129A3" w:rsidRDefault="007129A3" w:rsidP="0052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A3" w:rsidRDefault="007129A3" w:rsidP="005272E9">
      <w:r>
        <w:separator/>
      </w:r>
    </w:p>
  </w:footnote>
  <w:footnote w:type="continuationSeparator" w:id="0">
    <w:p w:rsidR="007129A3" w:rsidRDefault="007129A3" w:rsidP="0052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E9" w:rsidRDefault="005272E9">
    <w:pPr>
      <w:pStyle w:val="lfej"/>
    </w:pPr>
  </w:p>
  <w:p w:rsidR="005272E9" w:rsidRDefault="005272E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412C2"/>
    <w:multiLevelType w:val="hybridMultilevel"/>
    <w:tmpl w:val="61C09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E9"/>
    <w:rsid w:val="005272E9"/>
    <w:rsid w:val="005A0F1D"/>
    <w:rsid w:val="006723DC"/>
    <w:rsid w:val="007129A3"/>
    <w:rsid w:val="007E0DCB"/>
    <w:rsid w:val="00C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7B22"/>
  <w15:chartTrackingRefBased/>
  <w15:docId w15:val="{5681754F-73B3-4DDA-B999-8B99FF99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72E9"/>
    <w:pPr>
      <w:spacing w:after="0" w:line="240" w:lineRule="auto"/>
      <w:jc w:val="both"/>
    </w:pPr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72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72E9"/>
  </w:style>
  <w:style w:type="paragraph" w:styleId="llb">
    <w:name w:val="footer"/>
    <w:basedOn w:val="Norml"/>
    <w:link w:val="llbChar"/>
    <w:uiPriority w:val="99"/>
    <w:unhideWhenUsed/>
    <w:rsid w:val="005272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72E9"/>
  </w:style>
  <w:style w:type="character" w:styleId="Hiperhivatkozs">
    <w:name w:val="Hyperlink"/>
    <w:basedOn w:val="Bekezdsalapbettpusa"/>
    <w:uiPriority w:val="99"/>
    <w:semiHidden/>
    <w:unhideWhenUsed/>
    <w:rsid w:val="005272E9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5272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72E9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5272E9"/>
  </w:style>
  <w:style w:type="table" w:styleId="Rcsostblzat">
    <w:name w:val="Table Grid"/>
    <w:basedOn w:val="Normltblzat"/>
    <w:uiPriority w:val="39"/>
    <w:rsid w:val="005272E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https:/doi.org/10.1007/s11205-011-9966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2585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Edina</dc:creator>
  <cp:keywords/>
  <dc:description/>
  <cp:lastModifiedBy>Molnár Edina</cp:lastModifiedBy>
  <cp:revision>3</cp:revision>
  <dcterms:created xsi:type="dcterms:W3CDTF">2023-01-19T06:11:00Z</dcterms:created>
  <dcterms:modified xsi:type="dcterms:W3CDTF">2023-01-19T06:14:00Z</dcterms:modified>
</cp:coreProperties>
</file>